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4848B6" w14:paraId="4F9450A3" w14:textId="66A21FF4">
            <w:r w:rsidRPr="004848B6">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8167CA"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Pr="00295DCE" w:rsidR="00295DCE" w:rsidP="00295DCE" w:rsidRDefault="00295DCE" w14:paraId="3A28AA56" w14:textId="77777777">
            <w:pPr>
              <w:rPr>
                <w:lang w:val="en-US"/>
              </w:rPr>
            </w:pPr>
            <w:r w:rsidRPr="00295DCE">
              <w:rPr>
                <w:lang w:val="en-US"/>
              </w:rPr>
              <w:t xml:space="preserve">Resolution 0849 of 2022 "By means of which the Guide for the Formulation and Implementation of Territorial Comprehensive Climate Change Management Plans (PIGCCT) is established." </w:t>
            </w:r>
          </w:p>
          <w:p w:rsidRPr="00295DCE" w:rsidR="00295DCE" w:rsidP="00295DCE" w:rsidRDefault="00295DCE" w14:paraId="451B83CD" w14:textId="77777777">
            <w:pPr>
              <w:rPr>
                <w:lang w:val="en-US"/>
              </w:rPr>
            </w:pPr>
          </w:p>
          <w:p w:rsidRPr="008167CA" w:rsidR="00093CA9" w:rsidP="00295DCE" w:rsidRDefault="00295DCE" w14:paraId="313A697B" w14:textId="4B9C3227">
            <w:pPr>
              <w:rPr>
                <w:lang w:val="es-CO"/>
              </w:rPr>
            </w:pPr>
            <w:r w:rsidRPr="008167CA">
              <w:rPr>
                <w:lang w:val="es-CO"/>
              </w:rPr>
              <w:t>Resolución 0849 de 2022 “Por medio de la cual se establece la Guía para la formulación e implementación de los Planes Integrales de Gestión del Cambio Climático Territoriales (PIGCCT)”</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8167CA" w14:paraId="1523C232" w14:textId="5BAA544E">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4EFC9FAE"/>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CE2140" w14:paraId="14F96ECD" w14:textId="3BE8A82D">
            <w:r>
              <w:t>X</w:t>
            </w:r>
          </w:p>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639C0F7A"/>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76356EFA"/>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4BCBCEF4"/>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8167CA" w14:paraId="18257824" w14:textId="7C626C3B">
            <w:r w:rsidRPr="008167CA">
              <w:t>The policy tool establishes guidelines for formulating and implementing PIGCCTs, aiming to promote adaptation and mitigation actions at the territorial level, aligned with national climate policy, carbon neutrality, and resilience goals. It is directly relevant to transition planning as it mandates subnational governments to develop climate transition plans.</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1752EC" w14:paraId="54354EEF" w14:textId="6679703C">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893233" w14:paraId="22A2FF1A" w14:textId="6B55FC9F">
            <w:pPr>
              <w:rPr>
                <w:color w:val="000000" w:themeColor="text1"/>
              </w:rPr>
            </w:pPr>
            <w:r>
              <w:rPr>
                <w:color w:val="000000" w:themeColor="text1"/>
              </w:rPr>
              <w:t>2022</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893233" w14:paraId="5AD2325B" w14:textId="6B431902">
            <w:pPr>
              <w:rPr>
                <w:color w:val="000000" w:themeColor="text1"/>
              </w:rPr>
            </w:pPr>
            <w:r>
              <w:rPr>
                <w:color w:val="000000" w:themeColor="text1"/>
              </w:rPr>
              <w:t>2022</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BC0AED" w14:paraId="7961F236" w14:textId="5D2CF1DF">
            <w:r>
              <w:t xml:space="preserve">Ministry </w:t>
            </w:r>
            <w:r w:rsidRPr="00BC0AED">
              <w:t>(Ministry of Environment and Sustainable Development)</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BC0AED" w14:paraId="58D97C26" w14:textId="51C4C222">
            <w:r w:rsidRPr="00BC0AED">
              <w:t>Ministry of Environment and Sustainable Development</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BC0AED" w14:paraId="6DCCE4F4" w14:textId="04587D6E">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lastRenderedPageBreak/>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BC0AED" w14:paraId="54F7EBC8" w14:textId="51D087BA">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464E32" w14:paraId="2C2128DB" w14:textId="744960B8">
            <w:pPr>
              <w:keepNext/>
              <w:rPr>
                <w:color w:val="000000" w:themeColor="text1"/>
              </w:rPr>
            </w:pPr>
            <w:r w:rsidRPr="00464E32">
              <w:rPr>
                <w:color w:val="000000" w:themeColor="text1"/>
              </w:rPr>
              <w:t>The Guide includes requirements for periodic review, adjustment, and monitoring of PIGCCTs by responsible authorities.</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428A0377"/>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43B3CFE3"/>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643B014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46AC8AAF"/>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64513483"/>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1A5876BC"/>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4ECFC869"/>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1448543E"/>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35D477CF"/>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33051D43"/>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66405DBE"/>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4E592A06"/>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4DAE0684"/>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44A9D62B"/>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8F69A8" w14:paraId="63E64AA4" w14:textId="1F847931">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B65A9A0"/>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1359141F">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45B38744">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4355C6" w14:paraId="798A6AD1" w14:textId="283CC3BB">
            <w:pPr>
              <w:rPr>
                <w:rFonts w:ascii="Calibri" w:hAnsi="Calibri" w:cs="Calibri"/>
              </w:rPr>
            </w:pPr>
            <w:r>
              <w:rPr>
                <w:rFonts w:ascii="Calibri" w:hAnsi="Calibri" w:cs="Calibri"/>
              </w:rPr>
              <w:t>X</w:t>
            </w: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4355C6" w14:paraId="1421BEFB" w14:textId="3E2DA53D">
            <w:pPr>
              <w:rPr>
                <w:rFonts w:ascii="Calibri" w:hAnsi="Calibri" w:cs="Calibri"/>
              </w:rPr>
            </w:pPr>
            <w:r>
              <w:rPr>
                <w:rFonts w:ascii="Calibri" w:hAnsi="Calibri" w:cs="Calibri"/>
              </w:rPr>
              <w:t>X</w:t>
            </w: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4355C6" w14:paraId="57A593E9" w14:textId="7828F9DC">
            <w:pPr>
              <w:rPr>
                <w:rFonts w:ascii="Calibri" w:hAnsi="Calibri" w:cs="Calibri"/>
              </w:rPr>
            </w:pPr>
            <w:r>
              <w:rPr>
                <w:rFonts w:ascii="Calibri" w:hAnsi="Calibri" w:cs="Calibri"/>
              </w:rPr>
              <w:t>X</w:t>
            </w: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4355C6" w14:paraId="67015493" w14:textId="570671EB">
            <w:pPr>
              <w:rPr>
                <w:rFonts w:ascii="Calibri" w:hAnsi="Calibri" w:cs="Calibri"/>
              </w:rPr>
            </w:pPr>
            <w:r>
              <w:rPr>
                <w:rFonts w:ascii="Calibri" w:hAnsi="Calibri" w:cs="Calibri"/>
              </w:rPr>
              <w:t>X</w:t>
            </w: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4355C6" w14:paraId="0FDFBF9A" w14:textId="2D4D2E19">
            <w:pPr>
              <w:rPr>
                <w:rFonts w:ascii="Calibri" w:hAnsi="Calibri" w:cs="Calibri"/>
              </w:rPr>
            </w:pPr>
            <w:r>
              <w:rPr>
                <w:rFonts w:ascii="Calibri" w:hAnsi="Calibri" w:cs="Calibri"/>
              </w:rPr>
              <w:t>X</w:t>
            </w: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4355C6" w14:paraId="05FA4816" w14:textId="04EE33E0">
            <w:pPr>
              <w:rPr>
                <w:rFonts w:ascii="Calibri" w:hAnsi="Calibri" w:cs="Calibri"/>
              </w:rPr>
            </w:pPr>
            <w:r>
              <w:rPr>
                <w:rFonts w:ascii="Calibri" w:hAnsi="Calibri" w:cs="Calibri"/>
              </w:rPr>
              <w:t>X</w:t>
            </w: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4355C6" w14:paraId="26DE33FF" w14:textId="4148D418">
            <w:pPr>
              <w:rPr>
                <w:rFonts w:ascii="Calibri" w:hAnsi="Calibri" w:cs="Calibri"/>
              </w:rPr>
            </w:pPr>
            <w:r>
              <w:rPr>
                <w:rFonts w:ascii="Calibri" w:hAnsi="Calibri" w:cs="Calibri"/>
              </w:rPr>
              <w:t>X</w:t>
            </w: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4355C6" w14:paraId="55653212" w14:textId="21FD6DA5">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4355C6" w14:paraId="67E8031B" w14:textId="12640D04">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4355C6" w14:paraId="085035C8" w14:textId="2353FD2A">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4355C6" w14:paraId="21C8C1A2" w14:textId="6823FC43">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4355C6" w14:paraId="109BE34F" w14:textId="2587A64A">
            <w:pPr>
              <w:rPr>
                <w:rFonts w:ascii="Calibri" w:hAnsi="Calibri" w:cs="Calibri"/>
              </w:rPr>
            </w:pPr>
            <w:r>
              <w:rPr>
                <w:rFonts w:ascii="Calibri" w:hAnsi="Calibri" w:cs="Calibri"/>
              </w:rPr>
              <w:t>X</w:t>
            </w:r>
          </w:p>
        </w:tc>
      </w:tr>
      <w:tr w:rsidR="00C4670C" w:rsidTr="00C37D48" w14:paraId="694BE870" w14:textId="77777777">
        <w:trPr>
          <w:trHeight w:val="24"/>
        </w:trPr>
        <w:tc>
          <w:tcPr>
            <w:tcW w:w="1066" w:type="dxa"/>
            <w:vAlign w:val="center"/>
          </w:tcPr>
          <w:p w:rsidRPr="00C37D48" w:rsidR="00C4670C" w:rsidP="00C37D48" w:rsidRDefault="004355C6" w14:paraId="177B55BE" w14:textId="47918589">
            <w:pPr>
              <w:rPr>
                <w:rFonts w:ascii="Calibri" w:hAnsi="Calibri" w:cs="Calibri"/>
              </w:rPr>
            </w:pPr>
            <w:r>
              <w:rPr>
                <w:rFonts w:ascii="Calibri" w:hAnsi="Calibri" w:cs="Calibri"/>
              </w:rPr>
              <w:t>X</w:t>
            </w:r>
            <w:r w:rsidRPr="00C37D48" w:rsidR="008B241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4355C6" w14:paraId="6EB322D3" w14:textId="60032A6A">
            <w:pPr>
              <w:rPr>
                <w:rFonts w:ascii="Calibri" w:hAnsi="Calibri" w:cs="Calibri"/>
              </w:rPr>
            </w:pPr>
            <w:r>
              <w:rPr>
                <w:rFonts w:ascii="Calibri" w:hAnsi="Calibri" w:cs="Calibri"/>
              </w:rPr>
              <w:t>X</w:t>
            </w: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355C6" w14:paraId="43691A25" w14:textId="747F13EC">
            <w:pPr>
              <w:rPr>
                <w:rFonts w:ascii="Calibri" w:hAnsi="Calibri" w:cs="Calibri"/>
              </w:rPr>
            </w:pPr>
            <w:r w:rsidRPr="008F69A8">
              <w:t>All departments, municipalities, districts, and relevant authorities within Colombia are required to comply if they have jurisdiction over a territory.</w:t>
            </w: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355C6" w14:paraId="5C9C9E58" w14:textId="4A2C48C2">
            <w:pPr>
              <w:rPr>
                <w:rFonts w:ascii="Calibri" w:hAnsi="Calibri" w:cs="Calibri"/>
              </w:rPr>
            </w:pPr>
            <w:r>
              <w:rPr>
                <w:rFonts w:ascii="Calibri" w:hAnsi="Calibri" w:cs="Calibri"/>
              </w:rPr>
              <w:t>X</w:t>
            </w: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4355C6" w14:paraId="7A9EC3B9" w14:textId="1FF0166A">
            <w:pPr>
              <w:rPr>
                <w:rFonts w:ascii="Calibri" w:hAnsi="Calibri" w:cs="Calibri"/>
              </w:rPr>
            </w:pPr>
            <w:r>
              <w:rPr>
                <w:rFonts w:ascii="Calibri" w:hAnsi="Calibri" w:cs="Calibri"/>
              </w:rPr>
              <w:t>X</w:t>
            </w: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4355C6" w14:paraId="650EC57F" w14:textId="5898B57A">
            <w:pPr>
              <w:rPr>
                <w:rFonts w:ascii="Calibri" w:hAnsi="Calibri" w:cs="Calibri"/>
              </w:rPr>
            </w:pPr>
            <w:r>
              <w:rPr>
                <w:rFonts w:ascii="Calibri" w:hAnsi="Calibri" w:cs="Calibri"/>
              </w:rPr>
              <w:t>X</w:t>
            </w: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355C6" w14:paraId="618ECA8A" w14:textId="7576E268">
            <w:pPr>
              <w:rPr>
                <w:rFonts w:ascii="Calibri" w:hAnsi="Calibri" w:cs="Calibri"/>
              </w:rPr>
            </w:pPr>
            <w:r>
              <w:rPr>
                <w:rFonts w:ascii="Calibri" w:hAnsi="Calibri" w:cs="Calibri"/>
              </w:rPr>
              <w:t>X</w:t>
            </w: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lastRenderedPageBreak/>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lastRenderedPageBreak/>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lastRenderedPageBreak/>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7B7309" w14:paraId="42115DBB" w14:textId="70C5FA6B">
            <w:pPr>
              <w:rPr>
                <w:rFonts w:ascii="Calibri" w:hAnsi="Calibri" w:cs="Calibri"/>
              </w:rPr>
            </w:pPr>
            <w:r>
              <w:rPr>
                <w:rFonts w:ascii="Calibri" w:hAnsi="Calibri" w:cs="Calibri"/>
              </w:rPr>
              <w:t>x</w:t>
            </w: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1427BA" w14:paraId="3A72362E" w14:textId="56FCFC4B">
            <w:pPr>
              <w:rPr>
                <w:rFonts w:ascii="Calibri" w:hAnsi="Calibri" w:cs="Calibri"/>
              </w:rPr>
            </w:pPr>
            <w:r>
              <w:rPr>
                <w:rFonts w:ascii="Calibri" w:hAnsi="Calibri" w:cs="Calibri"/>
              </w:rPr>
              <w:t>X</w:t>
            </w: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1427BA" w14:paraId="2B786705" w14:textId="4267A256">
            <w:pPr>
              <w:rPr>
                <w:rFonts w:ascii="Calibri" w:hAnsi="Calibri" w:cs="Calibri"/>
              </w:rPr>
            </w:pPr>
            <w:r>
              <w:rPr>
                <w:rFonts w:ascii="Calibri" w:hAnsi="Calibri" w:cs="Calibri"/>
              </w:rPr>
              <w:t>X</w:t>
            </w: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1427BA" w14:paraId="29A8D135" w14:textId="1CCB95F6">
            <w:pPr>
              <w:rPr>
                <w:rFonts w:ascii="Calibri" w:hAnsi="Calibri" w:cs="Calibri"/>
              </w:rPr>
            </w:pPr>
            <w:r>
              <w:rPr>
                <w:rFonts w:ascii="Calibri" w:hAnsi="Calibri" w:cs="Calibri"/>
              </w:rPr>
              <w:t>X</w:t>
            </w: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1427BA" w14:paraId="6718E906" w14:textId="4944B43E">
            <w:pPr>
              <w:rPr>
                <w:rFonts w:ascii="Calibri" w:hAnsi="Calibri" w:cs="Calibri"/>
              </w:rPr>
            </w:pPr>
            <w:r>
              <w:rPr>
                <w:rFonts w:ascii="Calibri" w:hAnsi="Calibri" w:cs="Calibri"/>
              </w:rPr>
              <w:t>X</w:t>
            </w: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1427BA" w14:paraId="0AA2B51C" w14:textId="6BC37900">
            <w:pPr>
              <w:rPr>
                <w:rFonts w:ascii="Calibri" w:hAnsi="Calibri" w:cs="Calibri"/>
              </w:rPr>
            </w:pPr>
            <w:r>
              <w:rPr>
                <w:rFonts w:ascii="Calibri" w:hAnsi="Calibri" w:cs="Calibri"/>
              </w:rPr>
              <w:t>X</w:t>
            </w: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1427BA" w14:paraId="52C7845D" w14:textId="4505E3F8">
            <w:pPr>
              <w:rPr>
                <w:rFonts w:ascii="Calibri" w:hAnsi="Calibri" w:cs="Calibri"/>
              </w:rPr>
            </w:pPr>
            <w:r>
              <w:rPr>
                <w:rFonts w:ascii="Calibri" w:hAnsi="Calibri" w:cs="Calibri"/>
              </w:rPr>
              <w:t>X</w:t>
            </w: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1427BA" w14:paraId="7DEB21F8" w14:textId="0E077B63">
            <w:pPr>
              <w:rPr>
                <w:rFonts w:ascii="Calibri" w:hAnsi="Calibri" w:cs="Calibri"/>
              </w:rPr>
            </w:pPr>
            <w:r>
              <w:rPr>
                <w:rFonts w:ascii="Calibri" w:hAnsi="Calibri" w:cs="Calibri"/>
              </w:rPr>
              <w:t>X</w:t>
            </w: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1427BA" w14:paraId="3A5A03AA" w14:textId="501533B8">
            <w:pPr>
              <w:rPr>
                <w:rFonts w:ascii="Calibri" w:hAnsi="Calibri" w:cs="Calibri"/>
              </w:rPr>
            </w:pPr>
            <w:r>
              <w:rPr>
                <w:rFonts w:ascii="Calibri" w:hAnsi="Calibri" w:cs="Calibri"/>
              </w:rPr>
              <w:t>X</w:t>
            </w: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1427BA" w14:paraId="2E51DA2D" w14:textId="586E00DE">
            <w:pPr>
              <w:rPr>
                <w:rFonts w:ascii="Calibri" w:hAnsi="Calibri" w:cs="Calibri"/>
              </w:rPr>
            </w:pPr>
            <w:r>
              <w:rPr>
                <w:rFonts w:ascii="Calibri" w:hAnsi="Calibri" w:cs="Calibri"/>
              </w:rPr>
              <w:t>X</w:t>
            </w: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1427BA" w14:paraId="6A55D07D" w14:textId="0F243B7D">
            <w:pPr>
              <w:rPr>
                <w:rFonts w:ascii="Calibri" w:hAnsi="Calibri" w:cs="Calibri"/>
              </w:rPr>
            </w:pPr>
            <w:r>
              <w:rPr>
                <w:rFonts w:ascii="Calibri" w:hAnsi="Calibri" w:cs="Calibri"/>
              </w:rPr>
              <w:t>X</w:t>
            </w: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1427BA" w14:paraId="292FE0E0" w14:textId="7C0AE108">
            <w:pPr>
              <w:rPr>
                <w:rFonts w:ascii="Calibri" w:hAnsi="Calibri" w:cs="Calibri"/>
              </w:rPr>
            </w:pPr>
            <w:r>
              <w:rPr>
                <w:rFonts w:ascii="Calibri" w:hAnsi="Calibri" w:cs="Calibri"/>
              </w:rPr>
              <w:t>X</w:t>
            </w: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5317BA83">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837C7" w:rsidP="00874E39" w:rsidRDefault="00B837C7" w14:paraId="76E49E13" w14:textId="77777777">
      <w:r>
        <w:separator/>
      </w:r>
    </w:p>
  </w:endnote>
  <w:endnote w:type="continuationSeparator" w:id="0">
    <w:p w:rsidR="00B837C7" w:rsidP="00874E39" w:rsidRDefault="00B837C7" w14:paraId="4C2957D5" w14:textId="77777777">
      <w:r>
        <w:continuationSeparator/>
      </w:r>
    </w:p>
  </w:endnote>
  <w:endnote w:type="continuationNotice" w:id="1">
    <w:p w:rsidR="00B837C7" w:rsidRDefault="00B837C7" w14:paraId="5D2F948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837C7" w:rsidP="00874E39" w:rsidRDefault="00B837C7" w14:paraId="12E69347" w14:textId="77777777">
      <w:r>
        <w:separator/>
      </w:r>
    </w:p>
  </w:footnote>
  <w:footnote w:type="continuationSeparator" w:id="0">
    <w:p w:rsidR="00B837C7" w:rsidP="00874E39" w:rsidRDefault="00B837C7" w14:paraId="28626ADC" w14:textId="77777777">
      <w:r>
        <w:continuationSeparator/>
      </w:r>
    </w:p>
  </w:footnote>
  <w:footnote w:type="continuationNotice" w:id="1">
    <w:p w:rsidR="00B837C7" w:rsidRDefault="00B837C7" w14:paraId="3A034108"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7BA"/>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52EC"/>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55C6"/>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4E32"/>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48B6"/>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309"/>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7CA"/>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233"/>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9A8"/>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921"/>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37C7"/>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0AED"/>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5F2"/>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minambiente.gov.co/documento-normativa/resolucion-0849-de-2022/"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48E457A-179B-4179-B42D-B263C24EF191}"/>
</file>

<file path=customXml/itemProps2.xml><?xml version="1.0" encoding="utf-8"?>
<ds:datastoreItem xmlns:ds="http://schemas.openxmlformats.org/officeDocument/2006/customXml" ds:itemID="{22D63A2E-0CEF-4DAF-9023-1CA657C0DE58}"/>
</file>

<file path=customXml/itemProps3.xml><?xml version="1.0" encoding="utf-8"?>
<ds:datastoreItem xmlns:ds="http://schemas.openxmlformats.org/officeDocument/2006/customXml" ds:itemID="{72D11456-CA2E-40EA-A977-F36B704D57AD}"/>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